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02" w:rsidRPr="000E1B02" w:rsidRDefault="000E1B02" w:rsidP="000E1B02">
      <w:pPr>
        <w:tabs>
          <w:tab w:val="left" w:pos="690"/>
        </w:tabs>
        <w:spacing w:after="0" w:line="259" w:lineRule="auto"/>
        <w:ind w:left="666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0E1B0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="001516D9" w:rsidRPr="000E1B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="001B2644" w:rsidRPr="000E1B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 xml:space="preserve">  Іркліївської сільської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ради  від 00.00.2025 № 55-00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1516D9" w:rsidRDefault="001516D9" w:rsidP="000E1B02">
      <w:pPr>
        <w:tabs>
          <w:tab w:val="left" w:pos="5820"/>
        </w:tabs>
        <w:rPr>
          <w:lang w:val="uk-UA"/>
        </w:rPr>
      </w:pPr>
    </w:p>
    <w:p w:rsidR="0031399E" w:rsidRDefault="001516D9" w:rsidP="001B264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</w:t>
      </w:r>
    </w:p>
    <w:p w:rsidR="001516D9" w:rsidRDefault="001516D9">
      <w:pPr>
        <w:rPr>
          <w:lang w:val="uk-UA"/>
        </w:rPr>
      </w:pPr>
    </w:p>
    <w:p w:rsidR="001516D9" w:rsidRPr="001516D9" w:rsidRDefault="001516D9">
      <w:pPr>
        <w:rPr>
          <w:lang w:val="uk-UA"/>
        </w:rPr>
      </w:pPr>
    </w:p>
    <w:tbl>
      <w:tblPr>
        <w:tblpPr w:leftFromText="180" w:rightFromText="180" w:vertAnchor="text" w:horzAnchor="margin" w:tblpY="152"/>
        <w:tblW w:w="1038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997"/>
        <w:gridCol w:w="1999"/>
        <w:gridCol w:w="1332"/>
        <w:gridCol w:w="52"/>
      </w:tblGrid>
      <w:tr w:rsidR="00DE3984" w:rsidRPr="003410C5" w:rsidTr="001516D9">
        <w:trPr>
          <w:trHeight w:val="4363"/>
        </w:trPr>
        <w:tc>
          <w:tcPr>
            <w:tcW w:w="10380" w:type="dxa"/>
            <w:gridSpan w:val="4"/>
            <w:shd w:val="clear" w:color="auto" w:fill="FFFFFF"/>
          </w:tcPr>
          <w:p w:rsidR="001516D9" w:rsidRPr="001516D9" w:rsidRDefault="001516D9">
            <w:pPr>
              <w:rPr>
                <w:lang w:val="uk-UA"/>
              </w:rPr>
            </w:pPr>
          </w:p>
          <w:tbl>
            <w:tblPr>
              <w:tblW w:w="103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230"/>
              <w:gridCol w:w="1882"/>
              <w:gridCol w:w="1238"/>
            </w:tblGrid>
            <w:tr w:rsidR="00DE3984" w:rsidRPr="000E1B02" w:rsidTr="001516D9">
              <w:tc>
                <w:tcPr>
                  <w:tcW w:w="7230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4531A0" w:rsidTr="001516D9">
              <w:tc>
                <w:tcPr>
                  <w:tcW w:w="7230" w:type="dxa"/>
                  <w:shd w:val="clear" w:color="auto" w:fill="FFFFFF"/>
                </w:tcPr>
                <w:p w:rsidR="0031399E" w:rsidRPr="004531A0" w:rsidRDefault="0031399E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4531A0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  <w:p w:rsidR="00DE3984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  <w:p w:rsidR="00DE3984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  <w:p w:rsidR="00DE3984" w:rsidRPr="004531A0" w:rsidRDefault="0031399E" w:rsidP="000E1B02">
                  <w:pPr>
                    <w:framePr w:hSpace="180" w:wrap="around" w:vAnchor="text" w:hAnchor="margin" w:y="152"/>
                    <w:spacing w:after="0" w:line="240" w:lineRule="auto"/>
                    <w:ind w:left="-157" w:firstLine="157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Рік   202</w:t>
                  </w:r>
                  <w:r w:rsidR="00B171FA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6</w:t>
                  </w: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4531A0" w:rsidTr="001516D9">
              <w:tc>
                <w:tcPr>
                  <w:tcW w:w="7230" w:type="dxa"/>
                  <w:shd w:val="clear" w:color="auto" w:fill="FFFFFF"/>
                </w:tcPr>
                <w:p w:rsidR="00DE3984" w:rsidRPr="0093158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4531A0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Підприємство</w:t>
                  </w:r>
                  <w:r w:rsidRPr="00931582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КП «Іркліївський  ККП»                           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93158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4531A0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ЄДРПОУ</w:t>
                  </w:r>
                  <w:r w:rsidRPr="00931582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14216710</w:t>
                  </w: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1626D2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Орган управління</w:t>
                  </w:r>
                  <w:r w:rsidR="005620C3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Виконавчий комітет Іркліївської сільської ради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93158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за СПОДУ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04408100</w:t>
                  </w: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Галузь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   Комунальне  підприємство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93158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за ЗКГНГ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150</w:t>
                  </w: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Вид економічної діяльності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 Забір,очищення та постачання води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за КВЕД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 36.00      </w:t>
                  </w: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1626D2"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>Місцезнаходження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вул.Б.Хмельницького,7,с.Іркліїв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Телефон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     5-52-37</w:t>
                  </w: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C87B6F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  <w:tr w:rsidR="00DE3984" w:rsidRPr="001626D2" w:rsidTr="001516D9">
              <w:tc>
                <w:tcPr>
                  <w:tcW w:w="7230" w:type="dxa"/>
                  <w:shd w:val="clear" w:color="auto" w:fill="FFFFFF"/>
                </w:tcPr>
                <w:p w:rsidR="00DE3984" w:rsidRPr="00A33EC8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  <w:r w:rsidRPr="00C87B6F">
                    <w:rPr>
                      <w:rFonts w:ascii="Times New Roman" w:hAnsi="Times New Roman"/>
                      <w:sz w:val="23"/>
                      <w:szCs w:val="23"/>
                    </w:rPr>
                    <w:t>Прізвище та ініціали керівника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  <w:t xml:space="preserve">   Безуглий  Микола  Миколайович</w:t>
                  </w:r>
                </w:p>
                <w:p w:rsidR="00DE3984" w:rsidRPr="00C87B6F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882" w:type="dxa"/>
                  <w:shd w:val="clear" w:color="auto" w:fill="FFFFFF"/>
                </w:tcPr>
                <w:p w:rsidR="00DE3984" w:rsidRPr="00C87B6F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238" w:type="dxa"/>
                  <w:shd w:val="clear" w:color="auto" w:fill="FFFFFF"/>
                </w:tcPr>
                <w:p w:rsidR="00DE3984" w:rsidRPr="001626D2" w:rsidRDefault="00DE3984" w:rsidP="000E1B02">
                  <w:pPr>
                    <w:framePr w:hSpace="180" w:wrap="around" w:vAnchor="text" w:hAnchor="margin" w:y="152"/>
                    <w:spacing w:after="0" w:line="240" w:lineRule="auto"/>
                    <w:rPr>
                      <w:rFonts w:ascii="Times New Roman" w:hAnsi="Times New Roman"/>
                      <w:sz w:val="23"/>
                      <w:szCs w:val="23"/>
                      <w:lang w:val="uk-UA"/>
                    </w:rPr>
                  </w:pPr>
                </w:p>
              </w:tc>
            </w:tr>
          </w:tbl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3B5270">
              <w:rPr>
                <w:rFonts w:ascii="Times New Roman" w:hAnsi="Times New Roman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      </w:t>
            </w:r>
          </w:p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  <w:p w:rsidR="00DE3984" w:rsidRPr="003938FF" w:rsidRDefault="00DE3984" w:rsidP="003938FF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</w:pPr>
            <w:r w:rsidRPr="003938FF">
              <w:rPr>
                <w:rFonts w:ascii="Times New Roman" w:hAnsi="Times New Roman"/>
                <w:b/>
                <w:bCs/>
                <w:sz w:val="36"/>
                <w:szCs w:val="36"/>
              </w:rPr>
              <w:t>ФІНАНСОВИЙ ПЛАН</w:t>
            </w:r>
          </w:p>
          <w:p w:rsidR="00DE3984" w:rsidRPr="003938FF" w:rsidRDefault="003938FF" w:rsidP="003938FF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  <w:t>комунального підприємства</w:t>
            </w:r>
          </w:p>
          <w:p w:rsidR="00DE3984" w:rsidRPr="003938FF" w:rsidRDefault="003938FF" w:rsidP="003938FF">
            <w:pPr>
              <w:shd w:val="clear" w:color="auto" w:fill="FFFFFF"/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  <w:t xml:space="preserve">  «Іркліївський  комбінат комунальних послуг</w:t>
            </w:r>
            <w:r w:rsidR="00DE3984" w:rsidRPr="003938FF">
              <w:rPr>
                <w:rFonts w:ascii="Times New Roman" w:hAnsi="Times New Roman"/>
                <w:b/>
                <w:bCs/>
                <w:sz w:val="36"/>
                <w:szCs w:val="36"/>
                <w:lang w:val="uk-UA"/>
              </w:rPr>
              <w:t>»</w:t>
            </w:r>
          </w:p>
          <w:p w:rsidR="00DE3984" w:rsidRPr="003938FF" w:rsidRDefault="00B171FA" w:rsidP="003938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3938FF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>на 2026</w:t>
            </w:r>
            <w:r w:rsidR="00DE3984" w:rsidRPr="003938FF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 xml:space="preserve"> рік</w:t>
            </w:r>
          </w:p>
          <w:p w:rsidR="00DE3984" w:rsidRPr="007833BD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</w:tr>
      <w:tr w:rsidR="00DE3984" w:rsidRPr="00C87B6F" w:rsidTr="001516D9">
        <w:trPr>
          <w:gridAfter w:val="1"/>
          <w:wAfter w:w="52" w:type="dxa"/>
          <w:trHeight w:val="228"/>
        </w:trPr>
        <w:tc>
          <w:tcPr>
            <w:tcW w:w="6997" w:type="dxa"/>
            <w:shd w:val="clear" w:color="auto" w:fill="FFFFFF"/>
          </w:tcPr>
          <w:p w:rsidR="00DE3984" w:rsidRPr="001626D2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999" w:type="dxa"/>
            <w:shd w:val="clear" w:color="auto" w:fill="FFFFFF"/>
          </w:tcPr>
          <w:p w:rsidR="00DE3984" w:rsidRPr="00C87B6F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32" w:type="dxa"/>
            <w:shd w:val="clear" w:color="auto" w:fill="FFFFFF"/>
          </w:tcPr>
          <w:p w:rsidR="00DE3984" w:rsidRPr="00931582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</w:tr>
      <w:tr w:rsidR="00DE3984" w:rsidRPr="00C87B6F" w:rsidTr="001516D9">
        <w:trPr>
          <w:gridAfter w:val="1"/>
          <w:wAfter w:w="52" w:type="dxa"/>
          <w:trHeight w:val="385"/>
        </w:trPr>
        <w:tc>
          <w:tcPr>
            <w:tcW w:w="6997" w:type="dxa"/>
            <w:shd w:val="clear" w:color="auto" w:fill="FFFFFF"/>
          </w:tcPr>
          <w:p w:rsidR="00DE3984" w:rsidRDefault="00DE398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  <w:p w:rsidR="001B2644" w:rsidRPr="00931582" w:rsidRDefault="001B264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1999" w:type="dxa"/>
            <w:shd w:val="clear" w:color="auto" w:fill="FFFFFF"/>
          </w:tcPr>
          <w:p w:rsidR="00DE3984" w:rsidRPr="00931582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332" w:type="dxa"/>
            <w:shd w:val="clear" w:color="auto" w:fill="FFFFFF"/>
          </w:tcPr>
          <w:p w:rsidR="00DE3984" w:rsidRPr="00C87B6F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E3984" w:rsidRPr="00C87B6F" w:rsidTr="001516D9">
        <w:trPr>
          <w:gridAfter w:val="1"/>
          <w:wAfter w:w="52" w:type="dxa"/>
          <w:trHeight w:val="370"/>
        </w:trPr>
        <w:tc>
          <w:tcPr>
            <w:tcW w:w="6997" w:type="dxa"/>
            <w:shd w:val="clear" w:color="auto" w:fill="FFFFFF"/>
          </w:tcPr>
          <w:p w:rsidR="00DE3984" w:rsidRPr="00931582" w:rsidRDefault="00DE3984" w:rsidP="001516D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1999" w:type="dxa"/>
            <w:shd w:val="clear" w:color="auto" w:fill="FFFFFF"/>
          </w:tcPr>
          <w:p w:rsidR="00DE3984" w:rsidRPr="00931582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1332" w:type="dxa"/>
            <w:shd w:val="clear" w:color="auto" w:fill="FFFFFF"/>
          </w:tcPr>
          <w:p w:rsidR="00DE3984" w:rsidRPr="00C87B6F" w:rsidRDefault="00DE3984" w:rsidP="001516D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E3984" w:rsidRPr="00C87B6F" w:rsidRDefault="00DE3984" w:rsidP="00DE3984">
      <w:pPr>
        <w:shd w:val="clear" w:color="auto" w:fill="FFFFFF"/>
        <w:spacing w:after="120" w:line="240" w:lineRule="auto"/>
        <w:rPr>
          <w:rFonts w:ascii="Times New Roman" w:hAnsi="Times New Roman"/>
          <w:b/>
          <w:bCs/>
          <w:sz w:val="23"/>
          <w:lang w:val="uk-UA"/>
        </w:rPr>
      </w:pPr>
    </w:p>
    <w:tbl>
      <w:tblPr>
        <w:tblW w:w="12074" w:type="dxa"/>
        <w:tblInd w:w="-1741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074"/>
      </w:tblGrid>
      <w:tr w:rsidR="00DE3984" w:rsidRPr="00C41EA3" w:rsidTr="001516D9">
        <w:tc>
          <w:tcPr>
            <w:tcW w:w="12074" w:type="dxa"/>
            <w:shd w:val="clear" w:color="auto" w:fill="FFFFFF"/>
            <w:vAlign w:val="center"/>
          </w:tcPr>
          <w:p w:rsidR="00DE3984" w:rsidRPr="0059487F" w:rsidRDefault="00DE3984" w:rsidP="001516D9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3"/>
                <w:lang w:val="uk-UA"/>
              </w:rPr>
              <w:t xml:space="preserve">          </w:t>
            </w:r>
          </w:p>
          <w:tbl>
            <w:tblPr>
              <w:tblW w:w="11180" w:type="dxa"/>
              <w:tblInd w:w="3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DFDF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27"/>
              <w:gridCol w:w="686"/>
              <w:gridCol w:w="1536"/>
              <w:gridCol w:w="1134"/>
              <w:gridCol w:w="1223"/>
              <w:gridCol w:w="151"/>
              <w:gridCol w:w="1186"/>
              <w:gridCol w:w="699"/>
              <w:gridCol w:w="712"/>
              <w:gridCol w:w="753"/>
              <w:gridCol w:w="110"/>
              <w:gridCol w:w="863"/>
            </w:tblGrid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Основні фінансові показники (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  <w:lang w:val="uk-UA"/>
                    </w:rPr>
                    <w:t>одиниця виміру :тис.гривень)</w:t>
                  </w:r>
                </w:p>
              </w:tc>
            </w:tr>
            <w:tr w:rsidR="00DE3984" w:rsidRPr="00197EF0" w:rsidTr="001516D9">
              <w:trPr>
                <w:trHeight w:val="391"/>
              </w:trPr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I. Формування фінансових результатів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Код рядка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Факт минулого  року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1399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План поточного року</w:t>
                  </w:r>
                  <w:r w:rsidR="0031399E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202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</w:p>
              </w:tc>
              <w:tc>
                <w:tcPr>
                  <w:tcW w:w="122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Ф</w:t>
                  </w:r>
                  <w:r w:rsidR="00BC630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акт поточного року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2025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  </w:t>
                  </w:r>
                </w:p>
              </w:tc>
              <w:tc>
                <w:tcPr>
                  <w:tcW w:w="1337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620C3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Плановий рік (усього)</w:t>
                  </w:r>
                  <w:r w:rsidR="005620C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 202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</w:p>
              </w:tc>
              <w:tc>
                <w:tcPr>
                  <w:tcW w:w="3155" w:type="dxa"/>
                  <w:gridSpan w:val="5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У тому числі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337" w:type="dxa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uto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I квартал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II квартал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III квартал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IV квартал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Доходи</w:t>
                  </w:r>
                </w:p>
              </w:tc>
              <w:tc>
                <w:tcPr>
                  <w:tcW w:w="9054" w:type="dxa"/>
                  <w:gridSpan w:val="11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rPr>
                <w:trHeight w:val="864"/>
              </w:trPr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Дохід (виручка) від реалізації продукції (товарів, робіт, послуг)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1089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2744,2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1399E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2880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0E64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2880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2880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696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756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0686A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756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81B0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81B0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72</w:t>
                  </w:r>
                </w:p>
              </w:tc>
            </w:tr>
            <w:tr w:rsidR="00DE3984" w:rsidRPr="00197EF0" w:rsidTr="001516D9">
              <w:trPr>
                <w:trHeight w:val="523"/>
              </w:trPr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 w:hint="eastAsia"/>
                      <w:color w:val="252B33"/>
                      <w:sz w:val="16"/>
                      <w:szCs w:val="16"/>
                      <w:lang w:val="uk-UA"/>
                    </w:rPr>
                    <w:t>В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т.ч.за рахунок коштів </w:t>
                  </w:r>
                  <w:r w:rsidRPr="00197EF0">
                    <w:rPr>
                      <w:rFonts w:ascii="Conv_Rubik-Regular" w:eastAsia="Times New Roman" w:hAnsi="Conv_Rubik-Regular" w:hint="eastAsia"/>
                      <w:color w:val="252B33"/>
                      <w:sz w:val="16"/>
                      <w:szCs w:val="16"/>
                      <w:lang w:val="uk-UA"/>
                    </w:rPr>
                    <w:t>селищного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бюджету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001/1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285,5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535,0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535,0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E3984" w:rsidP="001516D9">
                  <w:pPr>
                    <w:spacing w:after="0" w:line="240" w:lineRule="atLeast"/>
                    <w:ind w:left="-226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33   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64,5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64,5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64,5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64,5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податок на додану вартість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1089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442,8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480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480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811A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0686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126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811A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010AA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811A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непрямі податки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вирахування з доходу (</w:t>
                  </w:r>
                  <w:r w:rsidRPr="00197EF0">
                    <w:rPr>
                      <w:rFonts w:ascii="Conv_Rubik-Regular" w:eastAsia="Times New Roman" w:hAnsi="Conv_Rubik-Regular"/>
                      <w:i/>
                      <w:iCs/>
                      <w:color w:val="252B33"/>
                      <w:sz w:val="16"/>
                      <w:szCs w:val="16"/>
                    </w:rPr>
                    <w:t>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Чистий дохід (виручка) від реалізації продукції (товарів, робіт, послуг)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D1089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2301,4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0686A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2400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0E64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40686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630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630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9732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811A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40686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Інші операційні доходи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Дохід від участі в капіталі </w:t>
                  </w:r>
                  <w:r w:rsidRPr="00197EF0">
                    <w:rPr>
                      <w:rFonts w:ascii="Conv_Rubik-Regular" w:eastAsia="Times New Roman" w:hAnsi="Conv_Rubik-Regular"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Інші фінансові доходи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cr/>
                    <w:t>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1399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Інші доходи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009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81B0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Усього доходів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171FA" w:rsidRDefault="00B171F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2301,4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DA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122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5C2DA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1337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5C2DA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630</w:t>
                  </w:r>
                </w:p>
              </w:tc>
              <w:tc>
                <w:tcPr>
                  <w:tcW w:w="75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630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53E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549B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Витрати</w:t>
                  </w:r>
                </w:p>
              </w:tc>
              <w:tc>
                <w:tcPr>
                  <w:tcW w:w="9054" w:type="dxa"/>
                  <w:gridSpan w:val="11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Собівартість реалізованої продукції (товарів, робіт та послуг) 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79642B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D17849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637,2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A135C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1691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A135C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169</w:t>
                  </w:r>
                  <w:r w:rsidR="001417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CF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759E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  <w:r w:rsidR="001417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CF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CF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429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CF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429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CF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41</w:t>
                  </w:r>
                  <w:r w:rsidR="001417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Адміністративні витрати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171FA" w:rsidRDefault="00B171F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614,2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BD7AA1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C630B" w:rsidRDefault="00A81F4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660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660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C630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C630B" w:rsidRDefault="00527A7F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A81F4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C630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витрати на консалтингові послуги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012/1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витрати на страхові послуги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012/2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адміністративні витрати </w:t>
                  </w:r>
                  <w:r w:rsidRPr="00197EF0">
                    <w:rPr>
                      <w:rFonts w:ascii="Conv_Rubik-Regular" w:eastAsia="Times New Roman" w:hAnsi="Conv_Rubik-Regular"/>
                      <w:i/>
                      <w:iCs/>
                      <w:color w:val="252B33"/>
                      <w:sz w:val="16"/>
                      <w:szCs w:val="16"/>
                    </w:rPr>
                    <w:t>(розшифрування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012/3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Витрати на збут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Інші операційні витрати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5C2DA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C2DA4" w:rsidRDefault="005C2DA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038E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038E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038E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038E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F5A0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038E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5C2DA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Фінансові витрати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Втрати від участі в капіталі (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lastRenderedPageBreak/>
                    <w:t>Інші витрати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(розшифрування)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Податок на прибуток від звичайної діяльності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9C0149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Усього витрати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019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171F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171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2301,0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D7AA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D7AA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2400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038E7" w:rsidRDefault="007038E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759E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58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</w:t>
                  </w:r>
                  <w:r w:rsidR="005C2CF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</w:t>
                  </w:r>
                  <w:r w:rsidR="007A135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27821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27A7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596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Фінансові результати діяльності: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Валовий прибуток (збиток)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Фінансовий результат від операційної діяльності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Фінансовий результат від звичайної діяльності до оподаткування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Чистий прибуток (збиток),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прибуток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023/1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A81F4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збиток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023/2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ІI. Розподіл чистого прибутку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Відрахування частини прибутку: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яка підлягає зарахуванню до загального фонду міського бюджету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Залишок нерозподіленого прибутку (непокритого збитку) на початок звітного періоду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Інші фонди 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(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розшифрувати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на розвиток виробництва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026/1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фонд матеріального заохочення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026/2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резервний фонд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026/3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Залишок нерозподіленого прибутку (непокритого збитку) на кінець звітного періоду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III. Сплата податків, зборів та інших обов’язкових платежів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Сплата поточних податків та обов'язкових платежів до Державного бюджету України,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028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9C445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623E6" w:rsidRDefault="00E623E6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податок на прибуток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E6697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9C445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ПДВ, що підлягає сплаті до бюджету за підсумками звітного періоду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ПДВ, що підлягає відшкодуванню з бюджету за підсумками звітного періоду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акцизний збір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рентні платежі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4E7785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3358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B33586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33586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E623E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ресурсні платежі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028/6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 xml:space="preserve">Сплата податків та зборів до місцевих бюджетів (податкові платежі), у 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lastRenderedPageBreak/>
                    <w:t>тому числі: (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розшифрувати</w:t>
                  </w: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lastRenderedPageBreak/>
                    <w:t>029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9C445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B0295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45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lastRenderedPageBreak/>
                    <w:t>Інші податки, збори та платежі на користь держави всього,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030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9C445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254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450F3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63,5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єдиний внесок на загальнообовязкове державне соціальне страхування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030/1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D17849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62,2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204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450F3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військовий збір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030/2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17849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17,6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17849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12,5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12,5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450F3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12,5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Погашення податкової заборгованості,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031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реструктуризованих та відстрочених сум, що підлягають сплаті до Державного бюджету України у поточному році: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основний платіж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031/1.1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неустойки (штрафи, пені)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031/1.2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реструктуризованих та відстрочених сум, що підлягають сплаті до місцевого бюджету у поточному році: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основний платіж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031/2.1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неустойки (штрафи, пені)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031/2.2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Усього виплат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032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IV. Рух грошових коштів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Залишок коштів на початок періоду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033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17849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107,3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827C2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10,0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17849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125,3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1586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170F9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5,0                 5</w:t>
                  </w:r>
                  <w:r w:rsidR="00DE3984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Чистий рух коштів від операційної діяльності, в т.ч.: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27C2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827C2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2539,7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27C2" w:rsidRDefault="00B827C2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27C2" w:rsidRDefault="00B827C2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570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70F97" w:rsidRDefault="00170F97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цільове фінансування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034/1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F02A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Чистий рух коштів від інвестиційної  діяльності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Чистий рух коштів від фінансової  діяльності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9642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Чистий рух коштів за звітний період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Чистий рух коштів за звітний період  (без цільового фінансування), в т.ч.: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B827C2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2539,7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57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надійшло власних фінансових ресурсів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038/1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використано фінансових ресурсів, в т.ч. на: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038/2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B827C2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2521,7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6206F2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720,3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570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приріст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038/2.1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зобов’язань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038/2.2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827C2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827C2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2521,7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2600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2720,3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26</w:t>
                  </w:r>
                  <w:r w:rsidR="001E032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570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680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70F97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 xml:space="preserve">Вплив зміни валютних </w:t>
                  </w: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lastRenderedPageBreak/>
                    <w:t>курсів на залишок коштів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lastRenderedPageBreak/>
                    <w:t>039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lastRenderedPageBreak/>
                    <w:t>Залишок коштів на кінець року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17849" w:rsidRDefault="00D17849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125,3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10,0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70F97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03C94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70F9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i/>
                      <w:iCs/>
                      <w:color w:val="252B33"/>
                      <w:sz w:val="16"/>
                      <w:szCs w:val="16"/>
                    </w:rPr>
                    <w:t>V. Елементи операційних витрат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Матеріальні затрати,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879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920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920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759E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230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витрати на сировину й основні матеріали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041/1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4DFA" w:rsidRDefault="002E4DF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112,0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28056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  <w:r w:rsidR="00280561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35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Витрати на паливо та енергію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041/2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942BD8" w:rsidRDefault="00942BD8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767,0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148B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780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780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195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195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195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Витрати на оплату праці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4E7785" w:rsidRDefault="004E7785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889,1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960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B33586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960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450F3" w:rsidRDefault="00D450F3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960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193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94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93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Нарахування на оплату праці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4E7785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162,2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148B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2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04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 w:rsidR="0021263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1148B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Амортизація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942BD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62,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62,4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62,4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B4510" w:rsidRDefault="00DB4510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62,4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DB4510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15,6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B4510" w:rsidRDefault="00DB4510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15,6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5,6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операційні витрати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308,</w:t>
                  </w:r>
                  <w:r w:rsidR="00DB451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148B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253,6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E290F" w:rsidRDefault="00DE290F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287,6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148BD" w:rsidRDefault="001148B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253,6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E29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E29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63,4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824F5D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 w:rsidR="00DE29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3,4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B32418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DE290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63,4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Операційні витрати, усього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046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VІ. Капітальні інвестиції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Капітальні інвестиції, усього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047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капітальне будівництво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придбання (виготовлення) основних засобів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049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9642B" w:rsidRDefault="00D17849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639,7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17849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придбання (виготовлення) інших необоротних матеріальних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79642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52E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придбання (створення) нематеріальних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модернізація, модифікація (добудова, дообладнання, реконструкція) основних засобів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придбання (створення) оборотних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капітальний ремонт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Джерела капітальних інвестицій, усього,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055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залучені кредитні кошти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бюджетне фінансування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власні кошти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джерела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059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VІІ. Звіт про фінансовий стан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Необоротні активи, в т.ч.: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5480,4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5418,0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5418,0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5355,6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4A6FA8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5402,4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5386,8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5371,2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5355,6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Основні засоби: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585D3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585D3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первісна вартість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2E4DFA" w:rsidRDefault="002E4DF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85D3A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585D3A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6069,8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знос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 xml:space="preserve"> 8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57,1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919,5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919,5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981,9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935,1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950,7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966,3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981,9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залишкова вартість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5212,7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5150,3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5150,3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5087,9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34,7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585D3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5119,1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396352" w:rsidRDefault="00396352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5103,5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396352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5087,9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вартість введених основних засобів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E4DF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639,7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вартість виведених основних засобів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приріст основних засобів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061/6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C3647D" w:rsidRDefault="00C3647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639,7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lastRenderedPageBreak/>
                    <w:t>Оборотні активи, в т.ч.: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C3647D" w:rsidRDefault="00C3647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754,6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74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74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74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74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74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Гроші та їх еквіваленти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062/1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C3647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125,3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10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4A6FA8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5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Усього активи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C3647D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6235,0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6168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168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6100,6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147,4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6131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6116,2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6100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,6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Власний капітал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064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C3647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6147,5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6078</w:t>
                  </w:r>
                  <w:r w:rsidR="0082740A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,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6078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6010,6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AA5B4F" w:rsidRDefault="00AA5B4F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6057,4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6041,8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6026,2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AA5B4F" w:rsidRDefault="00AA5B4F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6010,6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Поточні зобовязання і забезпечення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065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C3647D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87,5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E77CEF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A5B4F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AA5B4F" w:rsidRDefault="00AA5B4F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90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Довгострокові зобовязання і забезпечення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066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VІІІ. Кредитна політика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Отримано залучених коштів, усього,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067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довгострокові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067/1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короткострокові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067/2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фінансові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067/3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Використано залучених коштів, усього,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довгострокові зобов'язання, в т.ч.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приріст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068/1.1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зобовязань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068/1.2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короткострокові зобов'язання, в т.ч.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приріст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068/2.1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зобовязань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068/2.2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фінансові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приріст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068/3.1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погашення зобовязань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068/3.2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Повернено залучених коштів, усього, у тому числі: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069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довгострокові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069/1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короткострокові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069/2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інші фінансові зобов'язання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069/3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11180" w:type="dxa"/>
                  <w:gridSpan w:val="1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b/>
                      <w:bCs/>
                      <w:color w:val="252B33"/>
                      <w:sz w:val="16"/>
                      <w:szCs w:val="16"/>
                    </w:rPr>
                    <w:t>ІХ. Коефіцієнтний аналіз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Коефіцієнт дохідності активів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070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79642B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3</w:t>
                  </w:r>
                  <w:r w:rsidR="00AD6A4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0,3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0,3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Коефіцієнт рентабельності діяльності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071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Коефіцієнт фінансової стійкості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072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0,9</w:t>
                  </w:r>
                  <w:r w:rsidR="00AD6A4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0,9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0,9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0,9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  <w:tr w:rsidR="00DE3984" w:rsidRPr="00197EF0" w:rsidTr="001516D9">
              <w:tc>
                <w:tcPr>
                  <w:tcW w:w="212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Коефіцієнт покриття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073</w:t>
                  </w:r>
                </w:p>
              </w:tc>
              <w:tc>
                <w:tcPr>
                  <w:tcW w:w="15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5165BE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AD6A4C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7,9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8,2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F85F1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DC2B0B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  <w:r w:rsidR="002C6457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  <w:lang w:val="uk-UA"/>
                    </w:rPr>
                    <w:t>8,2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DFDFD"/>
                  <w:tcMar>
                    <w:top w:w="15" w:type="dxa"/>
                    <w:left w:w="75" w:type="dxa"/>
                    <w:bottom w:w="15" w:type="dxa"/>
                    <w:right w:w="75" w:type="dxa"/>
                  </w:tcMar>
                  <w:vAlign w:val="center"/>
                  <w:hideMark/>
                </w:tcPr>
                <w:p w:rsidR="00DE3984" w:rsidRPr="00197EF0" w:rsidRDefault="00DE3984" w:rsidP="001516D9">
                  <w:pPr>
                    <w:spacing w:after="0" w:line="240" w:lineRule="atLeast"/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</w:pPr>
                  <w:r w:rsidRPr="00197EF0">
                    <w:rPr>
                      <w:rFonts w:ascii="Conv_Rubik-Regular" w:eastAsia="Times New Roman" w:hAnsi="Conv_Rubik-Regular"/>
                      <w:color w:val="252B33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3938FF" w:rsidRDefault="00DE3984" w:rsidP="001516D9">
            <w:pPr>
              <w:shd w:val="clear" w:color="auto" w:fill="FDFDFD"/>
              <w:spacing w:after="15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197EF0">
              <w:rPr>
                <w:rFonts w:ascii="Conv_Rubik-Regular" w:eastAsia="Times New Roman" w:hAnsi="Conv_Rubik-Regular"/>
                <w:color w:val="252B33"/>
                <w:sz w:val="16"/>
                <w:szCs w:val="16"/>
              </w:rPr>
              <w:t> </w:t>
            </w:r>
            <w:r w:rsidRPr="008621B2">
              <w:rPr>
                <w:rFonts w:ascii="Conv_Rubik-Regular" w:eastAsia="Times New Roman" w:hAnsi="Conv_Rubik-Regular"/>
                <w:sz w:val="16"/>
                <w:szCs w:val="16"/>
              </w:rPr>
              <w:t> </w:t>
            </w:r>
            <w:r w:rsidRPr="008621B2">
              <w:rPr>
                <w:rFonts w:ascii="Times New Roman" w:hAnsi="Times New Roman"/>
                <w:b/>
                <w:bCs/>
                <w:sz w:val="16"/>
                <w:szCs w:val="16"/>
              </w:rPr>
              <w:t>                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                          </w:t>
            </w:r>
          </w:p>
          <w:p w:rsidR="00DE3984" w:rsidRDefault="003938FF" w:rsidP="001516D9">
            <w:pPr>
              <w:shd w:val="clear" w:color="auto" w:fill="FDFDFD"/>
              <w:spacing w:after="15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</w:t>
            </w:r>
            <w:r w:rsidR="00DE3984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    </w:t>
            </w:r>
            <w:r w:rsidR="00DE3984" w:rsidRPr="008621B2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 </w:t>
            </w:r>
            <w:r w:rsidR="00DE3984">
              <w:rPr>
                <w:rFonts w:ascii="Times New Roman" w:hAnsi="Times New Roman"/>
                <w:b/>
                <w:bCs/>
                <w:lang w:val="uk-UA"/>
              </w:rPr>
              <w:t>Директор</w:t>
            </w:r>
            <w:r w:rsidR="00DE3984" w:rsidRPr="008621B2">
              <w:rPr>
                <w:rFonts w:ascii="Times New Roman" w:hAnsi="Times New Roman"/>
                <w:b/>
                <w:bCs/>
                <w:lang w:val="uk-UA"/>
              </w:rPr>
              <w:t xml:space="preserve">                                        </w:t>
            </w:r>
            <w:r w:rsidR="00DE3984">
              <w:rPr>
                <w:rFonts w:ascii="Times New Roman" w:hAnsi="Times New Roman"/>
                <w:b/>
                <w:bCs/>
                <w:lang w:val="uk-UA"/>
              </w:rPr>
              <w:t xml:space="preserve">                      </w:t>
            </w:r>
            <w:r w:rsidR="00DE3984">
              <w:rPr>
                <w:rFonts w:ascii="Times New Roman" w:hAnsi="Times New Roman"/>
                <w:b/>
                <w:bCs/>
                <w:sz w:val="16"/>
                <w:szCs w:val="16"/>
              </w:rPr>
              <w:t>                 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Микола БЕЗУГЛИЙ</w:t>
            </w:r>
          </w:p>
          <w:p w:rsidR="00DE3984" w:rsidRPr="008621B2" w:rsidRDefault="00DE3984" w:rsidP="001516D9">
            <w:pPr>
              <w:shd w:val="clear" w:color="auto" w:fill="FDFDFD"/>
              <w:spacing w:after="15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 w:rsidRPr="008621B2">
              <w:rPr>
                <w:rFonts w:ascii="Times New Roman" w:hAnsi="Times New Roman"/>
                <w:b/>
                <w:bCs/>
                <w:sz w:val="16"/>
                <w:szCs w:val="16"/>
              </w:rPr>
              <w:t> 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:rsidR="00DE3984" w:rsidRPr="00197EF0" w:rsidRDefault="00DE3984" w:rsidP="001516D9">
            <w:pPr>
              <w:spacing w:after="0" w:line="240" w:lineRule="auto"/>
              <w:ind w:firstLine="32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   </w:t>
            </w:r>
          </w:p>
        </w:tc>
      </w:tr>
    </w:tbl>
    <w:p w:rsidR="00BE60DC" w:rsidRDefault="00BE60DC"/>
    <w:sectPr w:rsidR="00BE60DC" w:rsidSect="00BA0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F28"/>
    <w:multiLevelType w:val="hybridMultilevel"/>
    <w:tmpl w:val="16145680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C6198E"/>
    <w:multiLevelType w:val="multilevel"/>
    <w:tmpl w:val="045EEB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48777A"/>
    <w:multiLevelType w:val="multilevel"/>
    <w:tmpl w:val="8B12A3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5E497E"/>
    <w:multiLevelType w:val="multilevel"/>
    <w:tmpl w:val="BCE4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4420CCD"/>
    <w:multiLevelType w:val="multilevel"/>
    <w:tmpl w:val="8D5C74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D34423B"/>
    <w:multiLevelType w:val="hybridMultilevel"/>
    <w:tmpl w:val="58CAD3B0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F57407A"/>
    <w:multiLevelType w:val="multilevel"/>
    <w:tmpl w:val="B14431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3DC535F"/>
    <w:multiLevelType w:val="hybridMultilevel"/>
    <w:tmpl w:val="D24A1240"/>
    <w:lvl w:ilvl="0" w:tplc="ADD4344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0763F"/>
    <w:multiLevelType w:val="multilevel"/>
    <w:tmpl w:val="657001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DB93084"/>
    <w:multiLevelType w:val="multilevel"/>
    <w:tmpl w:val="D2024E2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81A403D"/>
    <w:multiLevelType w:val="multilevel"/>
    <w:tmpl w:val="6316A4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EAB3773"/>
    <w:multiLevelType w:val="multilevel"/>
    <w:tmpl w:val="ED0EF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3984"/>
    <w:rsid w:val="000E1B02"/>
    <w:rsid w:val="001148BD"/>
    <w:rsid w:val="0014170F"/>
    <w:rsid w:val="001516D9"/>
    <w:rsid w:val="001549B1"/>
    <w:rsid w:val="00170F97"/>
    <w:rsid w:val="001B2644"/>
    <w:rsid w:val="001E032A"/>
    <w:rsid w:val="00212638"/>
    <w:rsid w:val="00280561"/>
    <w:rsid w:val="002C6457"/>
    <w:rsid w:val="002E4DFA"/>
    <w:rsid w:val="002F63A8"/>
    <w:rsid w:val="0031399E"/>
    <w:rsid w:val="003452E0"/>
    <w:rsid w:val="003938FF"/>
    <w:rsid w:val="00396352"/>
    <w:rsid w:val="003B0908"/>
    <w:rsid w:val="003B51A4"/>
    <w:rsid w:val="0040686A"/>
    <w:rsid w:val="004A6FA8"/>
    <w:rsid w:val="004E7785"/>
    <w:rsid w:val="00527A7F"/>
    <w:rsid w:val="005620C3"/>
    <w:rsid w:val="00585D3A"/>
    <w:rsid w:val="005A26A3"/>
    <w:rsid w:val="005C2CF7"/>
    <w:rsid w:val="005C2DA4"/>
    <w:rsid w:val="00606B29"/>
    <w:rsid w:val="006206F2"/>
    <w:rsid w:val="00630E9F"/>
    <w:rsid w:val="007038E7"/>
    <w:rsid w:val="007149C2"/>
    <w:rsid w:val="00717F6D"/>
    <w:rsid w:val="00720072"/>
    <w:rsid w:val="007759E1"/>
    <w:rsid w:val="0079642B"/>
    <w:rsid w:val="007A135C"/>
    <w:rsid w:val="0082740A"/>
    <w:rsid w:val="008B0295"/>
    <w:rsid w:val="00942BD8"/>
    <w:rsid w:val="0097016E"/>
    <w:rsid w:val="009C0149"/>
    <w:rsid w:val="009C4451"/>
    <w:rsid w:val="00A81F43"/>
    <w:rsid w:val="00AA5B4F"/>
    <w:rsid w:val="00AD0ED0"/>
    <w:rsid w:val="00AD6A4C"/>
    <w:rsid w:val="00B12651"/>
    <w:rsid w:val="00B171FA"/>
    <w:rsid w:val="00B33586"/>
    <w:rsid w:val="00B827C2"/>
    <w:rsid w:val="00B85025"/>
    <w:rsid w:val="00BA07FA"/>
    <w:rsid w:val="00BC004B"/>
    <w:rsid w:val="00BC630B"/>
    <w:rsid w:val="00BD7AA1"/>
    <w:rsid w:val="00BE60DC"/>
    <w:rsid w:val="00C3647D"/>
    <w:rsid w:val="00CE6842"/>
    <w:rsid w:val="00D10897"/>
    <w:rsid w:val="00D17849"/>
    <w:rsid w:val="00D450F3"/>
    <w:rsid w:val="00D5602B"/>
    <w:rsid w:val="00D811A6"/>
    <w:rsid w:val="00DB4510"/>
    <w:rsid w:val="00DE290F"/>
    <w:rsid w:val="00DE3984"/>
    <w:rsid w:val="00E623E6"/>
    <w:rsid w:val="00E81B07"/>
    <w:rsid w:val="00E90E64"/>
    <w:rsid w:val="00E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A28D2"/>
  <w15:docId w15:val="{5A126D40-8F93-45B3-8028-082551CD6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3984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DE39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DE3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DE398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DE3984"/>
    <w:rPr>
      <w:rFonts w:ascii="Tahoma" w:eastAsia="Calibri" w:hAnsi="Tahoma" w:cs="Tahoma"/>
      <w:sz w:val="16"/>
      <w:szCs w:val="16"/>
      <w:lang w:eastAsia="en-US"/>
    </w:rPr>
  </w:style>
  <w:style w:type="character" w:styleId="a9">
    <w:name w:val="Emphasis"/>
    <w:basedOn w:val="a0"/>
    <w:uiPriority w:val="20"/>
    <w:qFormat/>
    <w:rsid w:val="00DE3984"/>
    <w:rPr>
      <w:rFonts w:cs="Times New Roman"/>
      <w:i/>
      <w:iCs/>
    </w:rPr>
  </w:style>
  <w:style w:type="paragraph" w:customStyle="1" w:styleId="rtecenter">
    <w:name w:val="rtecenter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right">
    <w:name w:val="rteright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DE3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dcterms:created xsi:type="dcterms:W3CDTF">2021-12-16T09:38:00Z</dcterms:created>
  <dcterms:modified xsi:type="dcterms:W3CDTF">2025-07-09T08:29:00Z</dcterms:modified>
</cp:coreProperties>
</file>