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F02" w:rsidRPr="001C5557" w:rsidRDefault="00986F02" w:rsidP="007B3B32">
      <w:pPr>
        <w:spacing w:line="240" w:lineRule="auto"/>
        <w:rPr>
          <w:lang w:val="en-US"/>
        </w:rPr>
      </w:pPr>
    </w:p>
    <w:p w:rsidR="00D77700" w:rsidRDefault="00FF0E5E" w:rsidP="00D77700">
      <w:pPr>
        <w:spacing w:line="240" w:lineRule="auto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986F02" w:rsidRPr="007B3B32">
        <w:rPr>
          <w:sz w:val="24"/>
          <w:szCs w:val="24"/>
          <w:lang w:val="uk-UA"/>
        </w:rPr>
        <w:t>Додаток 1</w:t>
      </w:r>
    </w:p>
    <w:p w:rsidR="00986F02" w:rsidRPr="007B3B32" w:rsidRDefault="00FF0E5E" w:rsidP="00CA6338">
      <w:pPr>
        <w:spacing w:line="240" w:lineRule="auto"/>
        <w:ind w:left="10632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</w:t>
      </w:r>
      <w:r w:rsidR="00CA6338">
        <w:rPr>
          <w:sz w:val="24"/>
          <w:szCs w:val="24"/>
          <w:lang w:val="uk-UA"/>
        </w:rPr>
        <w:t xml:space="preserve">о Програми фінансової підтримки комунальних підприємств </w:t>
      </w:r>
      <w:r w:rsidR="00986F02" w:rsidRPr="007B3B32">
        <w:rPr>
          <w:sz w:val="24"/>
          <w:szCs w:val="24"/>
          <w:lang w:val="uk-UA"/>
        </w:rPr>
        <w:t>Іркліївської сільської ради на 2025-2027 роки</w:t>
      </w:r>
      <w:r w:rsidR="00CA6338">
        <w:rPr>
          <w:sz w:val="24"/>
          <w:szCs w:val="24"/>
          <w:lang w:val="uk-UA"/>
        </w:rPr>
        <w:t xml:space="preserve"> </w:t>
      </w:r>
      <w:r w:rsidR="00986F02" w:rsidRPr="007B3B32">
        <w:rPr>
          <w:sz w:val="24"/>
          <w:szCs w:val="24"/>
          <w:lang w:val="uk-UA"/>
        </w:rPr>
        <w:t>(в редакц</w:t>
      </w:r>
      <w:r>
        <w:rPr>
          <w:sz w:val="24"/>
          <w:szCs w:val="24"/>
          <w:lang w:val="uk-UA"/>
        </w:rPr>
        <w:t>ії рішення сільської ради від 00.00</w:t>
      </w:r>
      <w:r w:rsidR="00986F02" w:rsidRPr="007B3B32">
        <w:rPr>
          <w:sz w:val="24"/>
          <w:szCs w:val="24"/>
          <w:lang w:val="uk-UA"/>
        </w:rPr>
        <w:t>.2025</w:t>
      </w:r>
      <w:r w:rsidR="00CA633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№00-00</w:t>
      </w:r>
      <w:r w:rsidR="00986F02" w:rsidRPr="007B3B32">
        <w:rPr>
          <w:sz w:val="24"/>
          <w:szCs w:val="24"/>
          <w:lang w:val="uk-UA"/>
        </w:rPr>
        <w:t>/</w:t>
      </w:r>
      <w:r w:rsidR="00986F02" w:rsidRPr="007B3B32">
        <w:rPr>
          <w:sz w:val="24"/>
          <w:szCs w:val="24"/>
          <w:lang w:val="en-US"/>
        </w:rPr>
        <w:t>VIII</w:t>
      </w:r>
      <w:r w:rsidR="00986F02" w:rsidRPr="00CA6338">
        <w:rPr>
          <w:sz w:val="24"/>
          <w:szCs w:val="24"/>
          <w:lang w:val="uk-UA"/>
        </w:rPr>
        <w:t>)</w:t>
      </w:r>
    </w:p>
    <w:p w:rsidR="00986F02" w:rsidRPr="00986F02" w:rsidRDefault="00986F02" w:rsidP="00986F02">
      <w:pPr>
        <w:jc w:val="right"/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8"/>
        <w:gridCol w:w="996"/>
        <w:gridCol w:w="1135"/>
        <w:gridCol w:w="1117"/>
        <w:gridCol w:w="1367"/>
        <w:gridCol w:w="1571"/>
        <w:gridCol w:w="843"/>
        <w:gridCol w:w="807"/>
        <w:gridCol w:w="874"/>
        <w:gridCol w:w="808"/>
        <w:gridCol w:w="811"/>
        <w:gridCol w:w="808"/>
        <w:gridCol w:w="874"/>
        <w:gridCol w:w="808"/>
        <w:gridCol w:w="1219"/>
      </w:tblGrid>
      <w:tr w:rsidR="00986F02" w:rsidTr="00986F02">
        <w:trPr>
          <w:trHeight w:val="488"/>
        </w:trPr>
        <w:tc>
          <w:tcPr>
            <w:tcW w:w="874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№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з/п</w:t>
            </w:r>
          </w:p>
        </w:tc>
        <w:tc>
          <w:tcPr>
            <w:tcW w:w="997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Завдання</w:t>
            </w:r>
          </w:p>
        </w:tc>
        <w:tc>
          <w:tcPr>
            <w:tcW w:w="954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Зміст заходів</w:t>
            </w:r>
          </w:p>
        </w:tc>
        <w:tc>
          <w:tcPr>
            <w:tcW w:w="1117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Стан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виконання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заходів</w:t>
            </w:r>
          </w:p>
        </w:tc>
        <w:tc>
          <w:tcPr>
            <w:tcW w:w="1231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Виконавець</w:t>
            </w:r>
          </w:p>
        </w:tc>
        <w:tc>
          <w:tcPr>
            <w:tcW w:w="1383" w:type="dxa"/>
            <w:vMerge w:val="restart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Джерела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 w:rsidRPr="00986F02">
              <w:rPr>
                <w:lang w:val="uk-UA"/>
              </w:rPr>
              <w:t>фінансування</w:t>
            </w:r>
          </w:p>
        </w:tc>
        <w:tc>
          <w:tcPr>
            <w:tcW w:w="7011" w:type="dxa"/>
            <w:gridSpan w:val="8"/>
          </w:tcPr>
          <w:p w:rsidR="00986F02" w:rsidRPr="00986F02" w:rsidRDefault="00986F02" w:rsidP="00986F02">
            <w:pPr>
              <w:jc w:val="center"/>
              <w:rPr>
                <w:lang w:val="uk-UA"/>
              </w:rPr>
            </w:pPr>
            <w:r w:rsidRPr="00986F02">
              <w:rPr>
                <w:lang w:val="uk-UA"/>
              </w:rPr>
              <w:t>Обсяг фінансування по роках, тис. грн.</w:t>
            </w:r>
          </w:p>
        </w:tc>
        <w:tc>
          <w:tcPr>
            <w:tcW w:w="1219" w:type="dxa"/>
            <w:vMerge w:val="restart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Очікуваний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результат</w:t>
            </w:r>
          </w:p>
        </w:tc>
      </w:tr>
      <w:tr w:rsidR="007B3B32" w:rsidTr="00986F02">
        <w:trPr>
          <w:trHeight w:val="714"/>
        </w:trPr>
        <w:tc>
          <w:tcPr>
            <w:tcW w:w="874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997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117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383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752" w:type="dxa"/>
            <w:gridSpan w:val="2"/>
          </w:tcPr>
          <w:p w:rsidR="00986F02" w:rsidRPr="00986F02" w:rsidRDefault="00986F02" w:rsidP="00986F02">
            <w:pPr>
              <w:jc w:val="center"/>
              <w:rPr>
                <w:lang w:val="uk-UA"/>
              </w:rPr>
            </w:pPr>
            <w:r w:rsidRPr="00986F02">
              <w:rPr>
                <w:lang w:val="uk-UA"/>
              </w:rPr>
              <w:t>2025</w:t>
            </w:r>
          </w:p>
        </w:tc>
        <w:tc>
          <w:tcPr>
            <w:tcW w:w="1753" w:type="dxa"/>
            <w:gridSpan w:val="2"/>
          </w:tcPr>
          <w:p w:rsidR="00986F02" w:rsidRPr="00986F02" w:rsidRDefault="00986F02" w:rsidP="0098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2026</w:t>
            </w:r>
          </w:p>
        </w:tc>
        <w:tc>
          <w:tcPr>
            <w:tcW w:w="1753" w:type="dxa"/>
            <w:gridSpan w:val="2"/>
          </w:tcPr>
          <w:p w:rsidR="00986F02" w:rsidRPr="00986F02" w:rsidRDefault="00986F02" w:rsidP="0098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753" w:type="dxa"/>
            <w:gridSpan w:val="2"/>
          </w:tcPr>
          <w:p w:rsidR="00986F02" w:rsidRPr="00986F02" w:rsidRDefault="00986F02" w:rsidP="00986F0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219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</w:tr>
      <w:tr w:rsidR="007B3B32" w:rsidTr="00986F02">
        <w:tc>
          <w:tcPr>
            <w:tcW w:w="874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997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117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231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1383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87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5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87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План</w:t>
            </w:r>
          </w:p>
        </w:tc>
        <w:tc>
          <w:tcPr>
            <w:tcW w:w="876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Факт</w:t>
            </w:r>
          </w:p>
        </w:tc>
        <w:tc>
          <w:tcPr>
            <w:tcW w:w="1219" w:type="dxa"/>
            <w:vMerge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</w:tr>
      <w:tr w:rsidR="007B3B32" w:rsidTr="00986F02">
        <w:tc>
          <w:tcPr>
            <w:tcW w:w="874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99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954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231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383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877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875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877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876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877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876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877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876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219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</w:tr>
      <w:tr w:rsidR="007B3B32" w:rsidTr="00986F02">
        <w:tc>
          <w:tcPr>
            <w:tcW w:w="874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997" w:type="dxa"/>
          </w:tcPr>
          <w:p w:rsidR="00986F02" w:rsidRPr="00986F02" w:rsidRDefault="00986F02" w:rsidP="00986F02">
            <w:pPr>
              <w:jc w:val="right"/>
              <w:rPr>
                <w:lang w:val="uk-UA"/>
              </w:rPr>
            </w:pPr>
          </w:p>
        </w:tc>
        <w:tc>
          <w:tcPr>
            <w:tcW w:w="954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Виділення</w:t>
            </w:r>
          </w:p>
          <w:p w:rsidR="00986F02" w:rsidRDefault="007B3B32" w:rsidP="00986F02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986F02">
              <w:rPr>
                <w:lang w:val="uk-UA"/>
              </w:rPr>
              <w:t>оштів</w:t>
            </w:r>
          </w:p>
          <w:p w:rsidR="00986F02" w:rsidRDefault="00986F02" w:rsidP="00986F02">
            <w:pPr>
              <w:rPr>
                <w:lang w:val="uk-UA"/>
              </w:rPr>
            </w:pPr>
            <w:r>
              <w:rPr>
                <w:lang w:val="uk-UA"/>
              </w:rPr>
              <w:t>на придбання</w:t>
            </w:r>
          </w:p>
          <w:p w:rsidR="00986F02" w:rsidRDefault="00986F02" w:rsidP="00986F02">
            <w:pPr>
              <w:rPr>
                <w:lang w:val="uk-UA"/>
              </w:rPr>
            </w:pPr>
            <w:r>
              <w:rPr>
                <w:lang w:val="uk-UA"/>
              </w:rPr>
              <w:t>глибин</w:t>
            </w:r>
            <w:r w:rsidR="007B3B32">
              <w:rPr>
                <w:lang w:val="uk-UA"/>
              </w:rPr>
              <w:t>н</w:t>
            </w:r>
            <w:r>
              <w:rPr>
                <w:lang w:val="uk-UA"/>
              </w:rPr>
              <w:t>их</w:t>
            </w:r>
          </w:p>
          <w:p w:rsidR="00986F02" w:rsidRDefault="00986F02" w:rsidP="00986F02">
            <w:pPr>
              <w:rPr>
                <w:lang w:val="uk-UA"/>
              </w:rPr>
            </w:pPr>
            <w:r>
              <w:rPr>
                <w:lang w:val="uk-UA"/>
              </w:rPr>
              <w:t>насосів</w:t>
            </w:r>
          </w:p>
          <w:p w:rsidR="00986F02" w:rsidRPr="00986F02" w:rsidRDefault="00986F02" w:rsidP="00986F02">
            <w:pPr>
              <w:rPr>
                <w:lang w:val="uk-UA"/>
              </w:rPr>
            </w:pPr>
          </w:p>
        </w:tc>
        <w:tc>
          <w:tcPr>
            <w:tcW w:w="1117" w:type="dxa"/>
          </w:tcPr>
          <w:p w:rsidR="00986F02" w:rsidRDefault="00986F0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2025-</w:t>
            </w:r>
          </w:p>
          <w:p w:rsidR="00986F02" w:rsidRPr="00986F02" w:rsidRDefault="00986F0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2027</w:t>
            </w:r>
          </w:p>
        </w:tc>
        <w:tc>
          <w:tcPr>
            <w:tcW w:w="1231" w:type="dxa"/>
          </w:tcPr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Комунальні</w:t>
            </w:r>
          </w:p>
          <w:p w:rsid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підприємства</w:t>
            </w:r>
          </w:p>
          <w:p w:rsidR="00986F02" w:rsidRPr="00986F02" w:rsidRDefault="00986F0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громади</w:t>
            </w:r>
          </w:p>
        </w:tc>
        <w:tc>
          <w:tcPr>
            <w:tcW w:w="1383" w:type="dxa"/>
          </w:tcPr>
          <w:p w:rsidR="00986F02" w:rsidRDefault="00986F0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Бюджет</w:t>
            </w:r>
          </w:p>
          <w:p w:rsidR="00986F02" w:rsidRDefault="00986F0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Іркліївської</w:t>
            </w:r>
          </w:p>
          <w:p w:rsidR="00986F02" w:rsidRDefault="00986F0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</w:t>
            </w:r>
            <w:r w:rsidR="009808C3">
              <w:rPr>
                <w:lang w:val="uk-UA"/>
              </w:rPr>
              <w:t>Г, кошти інших джерел не заборо</w:t>
            </w:r>
            <w:r>
              <w:rPr>
                <w:lang w:val="uk-UA"/>
              </w:rPr>
              <w:t>нених</w:t>
            </w:r>
          </w:p>
          <w:p w:rsidR="007B3B32" w:rsidRPr="00986F02" w:rsidRDefault="007B3B32" w:rsidP="007B3B3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законодавством</w:t>
            </w:r>
          </w:p>
        </w:tc>
        <w:tc>
          <w:tcPr>
            <w:tcW w:w="877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600,00</w:t>
            </w:r>
          </w:p>
        </w:tc>
        <w:tc>
          <w:tcPr>
            <w:tcW w:w="875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bookmarkStart w:id="0" w:name="_GoBack"/>
            <w:bookmarkEnd w:id="0"/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1000,00</w:t>
            </w:r>
          </w:p>
        </w:tc>
        <w:tc>
          <w:tcPr>
            <w:tcW w:w="876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6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77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1600,00</w:t>
            </w:r>
          </w:p>
        </w:tc>
        <w:tc>
          <w:tcPr>
            <w:tcW w:w="876" w:type="dxa"/>
          </w:tcPr>
          <w:p w:rsid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219" w:type="dxa"/>
          </w:tcPr>
          <w:p w:rsidR="00986F02" w:rsidRPr="00986F02" w:rsidRDefault="007B3B32" w:rsidP="00986F02">
            <w:pPr>
              <w:jc w:val="right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</w:tbl>
    <w:p w:rsidR="00847B92" w:rsidRDefault="009808C3">
      <w:pPr>
        <w:rPr>
          <w:lang w:val="uk-UA"/>
        </w:rPr>
      </w:pPr>
      <w:r>
        <w:rPr>
          <w:lang w:val="uk-UA"/>
        </w:rPr>
        <w:t xml:space="preserve">   </w:t>
      </w:r>
    </w:p>
    <w:p w:rsidR="007B3B32" w:rsidRPr="007B3B32" w:rsidRDefault="007B3B32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Секретар сільської ради                                                                           </w:t>
      </w:r>
      <w:r w:rsidR="009808C3">
        <w:rPr>
          <w:sz w:val="24"/>
          <w:szCs w:val="24"/>
          <w:lang w:val="uk-UA"/>
        </w:rPr>
        <w:t xml:space="preserve">                                   </w:t>
      </w:r>
      <w:r>
        <w:rPr>
          <w:sz w:val="24"/>
          <w:szCs w:val="24"/>
          <w:lang w:val="uk-UA"/>
        </w:rPr>
        <w:t xml:space="preserve">                                                            Антоніна  КУЛИК</w:t>
      </w:r>
    </w:p>
    <w:sectPr w:rsidR="007B3B32" w:rsidRPr="007B3B32" w:rsidSect="00CA633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F02"/>
    <w:rsid w:val="007B3B32"/>
    <w:rsid w:val="00847B92"/>
    <w:rsid w:val="009808C3"/>
    <w:rsid w:val="00986F02"/>
    <w:rsid w:val="00AE5D8B"/>
    <w:rsid w:val="00CA6338"/>
    <w:rsid w:val="00D77700"/>
    <w:rsid w:val="00FA08A4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BAEF9"/>
  <w15:docId w15:val="{9448CEF4-3E8F-4EF8-BE7D-B40A86157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F02"/>
    <w:pPr>
      <w:spacing w:before="120" w:after="120" w:line="24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5D60B-EABD-4AC9-8908-A3FFCA602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Admin</cp:lastModifiedBy>
  <cp:revision>3</cp:revision>
  <cp:lastPrinted>2025-07-08T12:55:00Z</cp:lastPrinted>
  <dcterms:created xsi:type="dcterms:W3CDTF">2025-07-08T12:33:00Z</dcterms:created>
  <dcterms:modified xsi:type="dcterms:W3CDTF">2025-07-09T05:44:00Z</dcterms:modified>
</cp:coreProperties>
</file>